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9,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PHENIXFIN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8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814-00818</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27-4576073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80" w:type="dxa"/>
            <w:vAlign w:val="bottom"/>
            <w:tcBorders>
              <w:top w:val="single" w:sz="8" w:color="auto"/>
            </w:tcBorders>
            <w:gridSpan w:val="3"/>
          </w:tcPr>
          <w:p>
            <w:pPr>
              <w:jc w:val="center"/>
              <w:ind w:right="72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5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80"/>
        </w:trPr>
        <w:tc>
          <w:tcPr>
            <w:tcW w:w="4560" w:type="dxa"/>
            <w:vAlign w:val="bottom"/>
            <w:tcBorders>
              <w:bottom w:val="single" w:sz="8" w:color="auto"/>
            </w:tcBorders>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7"/>
              </w:rPr>
              <w:t>445 Park Avenue, 10</w:t>
            </w:r>
            <w:r>
              <w:rPr>
                <w:rFonts w:ascii="Times New Roman" w:cs="Times New Roman" w:eastAsia="Times New Roman" w:hAnsi="Times New Roman"/>
                <w:sz w:val="29"/>
                <w:szCs w:val="29"/>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 New York, NY</w:t>
            </w: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234"/>
        </w:trPr>
        <w:tc>
          <w:tcPr>
            <w:tcW w:w="456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859-0390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114300</wp:posOffset>
            </wp:positionV>
            <wp:extent cx="53492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39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PFX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5.25% Notes due 2028</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PFXNZ</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9, 2026, PhenixFIN Corporation issued a press release announcing its financial results for the quarter ended December 31, 2025. The press release is included as Exhibit 99.1 to this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February 9, 2026</w:t>
      </w:r>
    </w:p>
    <w:p>
      <w:pPr>
        <w:spacing w:after="0" w:line="27" w:lineRule="exact"/>
        <w:rPr>
          <w:sz w:val="20"/>
          <w:szCs w:val="20"/>
          <w:color w:val="auto"/>
        </w:rPr>
      </w:pPr>
    </w:p>
    <w:p>
      <w:pPr>
        <w:ind w:left="5580" w:right="414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900" w:right="6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PhenixFIN Corporation has duly caused this report to be signed on its behalf by the undersigned 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February 9, 2026</w:t>
      </w:r>
      <w:r>
        <w:rPr>
          <w:sz w:val="20"/>
          <w:szCs w:val="20"/>
          <w:color w:val="auto"/>
        </w:rPr>
        <w:tab/>
      </w:r>
      <w:r>
        <w:rPr>
          <w:rFonts w:ascii="Times New Roman" w:cs="Times New Roman" w:eastAsia="Times New Roman" w:hAnsi="Times New Roman"/>
          <w:sz w:val="17"/>
          <w:szCs w:val="17"/>
          <w:b w:val="1"/>
          <w:bCs w:val="1"/>
          <w:color w:val="auto"/>
        </w:rPr>
        <w:t>PHENIXFIN CORPORATION</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David Lorber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David Lorber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PhenixFIN Corporation Announces First Quarter 2026 Financial Results</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New York, NY, February 9, 2026 -- PhenixFIN Corporation (NASDAQ: PFX, PFXNZ) (the “Company”), a publicly traded business development company, today announced its financial results for the first fiscal quarter of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Highlights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total investment income of $6.7 million; net investment income of $2.1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(NAV) of $155.8 million, or $77.92 per share as of December 31, 2025</w:t>
      </w:r>
    </w:p>
    <w:p>
      <w:pPr>
        <w:spacing w:after="0" w:line="225" w:lineRule="exact"/>
        <w:rPr>
          <w:rFonts w:ascii="Times New Roman" w:cs="Times New Roman" w:eastAsia="Times New Roman" w:hAnsi="Times New Roman"/>
          <w:sz w:val="18"/>
          <w:szCs w:val="18"/>
          <w:color w:val="auto"/>
        </w:rPr>
      </w:pPr>
    </w:p>
    <w:p>
      <w:pPr>
        <w:ind w:right="4420" w:firstLine="332"/>
        <w:spacing w:after="0" w:line="500" w:lineRule="auto"/>
        <w:tabs>
          <w:tab w:leader="none" w:pos="6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yield was 12.52% on debt and other income producing investments David Lorber, Chief Executive Officer of the Company, stated:</w:t>
      </w:r>
    </w:p>
    <w:p>
      <w:pPr>
        <w:spacing w:after="0" w:line="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quarter, we generated solid investment income, supported by a 12.52% weighted average yield on income producing investments. While mark-to-market declines in certain equity positions weighed on results, these reflected company-specific softness despite a generally favorable economic backdrop. With our portfolio focused on U.S. companies, and with policy makers signaling support for domestic growth and a more supportive rate environment, we expect U.S. fundamentals to improve throughout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Selected First Quarter 2026 Financial Results for the Quarter Ended December 31, 2025:</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investment income was $6.7 million of which $6.5 million was attributable to portfolio interest and dividend income and $0.2 million was attributable to fee and other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expenses were $4.5 million and total net investment income was $2.1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a net realized gain of $0.7 million and net unrealized loss of $7.2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Portfolio and Investment Activities for the Quarter Ended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Company’s investment portfolio totaled $295.6 million and consisted of 33 portfolio companies.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1 portfolio company investment on non-accrual status with a fair market value of $0.0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At December 31, 2025, the Company had $3.4 million in cash and cash equivalents, $57.5 million in aggregate principal amount of its 5.25% unsecured notes due 2028 and $90.0 million outstanding under the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PHENIXFIN CORPORATION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PhenixFIN Corporation is a non-diversified, internally managed closed-end management investment company incorporated in Delaware that has elected to be regulated as a business development company under the Investment Company Act of 1940, as amended. We completed our initial public offering and commenced operations on January 20, 2011. The Company has elected, and intends to qualify annually, to be treated, for U.S. federal income tax purposes, as a regulated investment company under Subchapter M of the Internal Revenue Code of 1986, as amended. Effective January 1, 2021, the Company operates under an internalized management structure.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SAFE HARBOR STATEMENT AND OTHER DISCLOSURES</w:t>
      </w:r>
    </w:p>
    <w:p>
      <w:pPr>
        <w:spacing w:after="0" w:line="22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This press release contains “forward-looking” statements. Such forward-looking statements reflect current views with respect to future events and financial performance, and the Company may make related oral forward-looking statements on or following the date hereof. These forward-looking statements are subject to the inherent uncertainties in predicting future results and conditions. Certain factors could cause actual results and conditions to differ materially from those projected in these forward-looking statements, including among other things, PhenixFIN’s ability to deliver value to shareholders, increase investment activity, increase net investment income, implement its investment strategy and achieve its investment objective, source and capitalize on investment opportunities, grow its net asset value and perform well in the prevailing market environment, the ability of our portfolio companies to perform well and generate income and other factors that are enumerated in the Company’s periodic filings with the Securities and Exchange Commission. PhenixFIN Corporation disclaims and does not undertake any obligation to update or revise any forward-looking statement in this press release.</w:t>
      </w:r>
    </w:p>
    <w:p>
      <w:pPr>
        <w:spacing w:after="0" w:line="16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Past performance is not a guarantee of future results. </w:t>
      </w:r>
      <w:r>
        <w:rPr>
          <w:rFonts w:ascii="Times New Roman" w:cs="Times New Roman" w:eastAsia="Times New Roman" w:hAnsi="Times New Roman"/>
          <w:sz w:val="18"/>
          <w:szCs w:val="18"/>
          <w:color w:val="auto"/>
        </w:rPr>
        <w:t>The press release contains unaudited financial results. For ease of review, we have excluded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word “approximately” when rounding the results. This press release is for informational purposes only and is not an offer to purchase or a solicitation of an offer to sell shares of PhenixFIN Corporation’s common stock. There can be no assurance that PhenixFIN Corporation will achieve its investment objective.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PhenixFIN investor relations, please call 212-859-0390. For media inquiries, please contact info@phenixfc.com.</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PHENIXFIN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Assets and Liabilities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Non-controlled, non-affiliated investments (amortized cost of $138,028,011 and $139,342,491, respectively)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139,235,510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145,280,169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Affiliated investments (amortized cost of $37,022,913 and $35,390,223, respectively)</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36,675,568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35,381,405</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Controlled investments (amortized cost of $149,859,961 and $149,656,451, respectively)</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119,728,486</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121,610,914</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Investments at fair value</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295,639,564</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302,272,488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3,406,847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7,289,371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1,036,662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1,203,404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44,971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229,046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42,950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2,642,679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2,746,775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852,570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1,234,847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1,308,020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1,384,767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Affiliate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301,595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572,331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share repurchase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42,076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96,342</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for investments sold</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1,922,102</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21,549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307,381,161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316,909,795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and notes payable (net of debt issuance costs of $946,653 and $1,141,393, respectively)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146,544,966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148,011,724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1,063,658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4,226,889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2,481,418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2,439,405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fees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1,158,816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1,187,574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178,690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137,538</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Due to Affiliate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132,365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132,365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151,559,913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156,135,495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 (see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hanging="161"/>
        <w:spacing w:after="0" w:line="250" w:lineRule="auto"/>
        <w:rPr>
          <w:sz w:val="20"/>
          <w:szCs w:val="20"/>
          <w:color w:val="auto"/>
        </w:rPr>
      </w:pPr>
      <w:r>
        <w:rPr>
          <w:rFonts w:ascii="Times New Roman" w:cs="Times New Roman" w:eastAsia="Times New Roman" w:hAnsi="Times New Roman"/>
          <w:sz w:val="18"/>
          <w:szCs w:val="18"/>
          <w:color w:val="auto"/>
        </w:rPr>
        <w:t>Common Shares, $0.001 par value; 5,000,000 shares authorized; 2,723,709 shares issued; 1,999,634 and 2,003,769 common shares outstanding,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Capital in excess of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distributable earnings (loss)</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20"/>
        <w:spacing w:after="0"/>
        <w:tabs>
          <w:tab w:leader="none" w:pos="2020" w:val="left"/>
        </w:tabs>
        <w:rPr>
          <w:sz w:val="20"/>
          <w:szCs w:val="20"/>
          <w:color w:val="auto"/>
        </w:rPr>
      </w:pPr>
      <w:r>
        <w:rPr>
          <w:rFonts w:ascii="Times New Roman" w:cs="Times New Roman" w:eastAsia="Times New Roman" w:hAnsi="Times New Roman"/>
          <w:sz w:val="18"/>
          <w:szCs w:val="18"/>
          <w:color w:val="auto"/>
        </w:rPr>
        <w:t>2,000</w:t>
      </w:r>
      <w:r>
        <w:rPr>
          <w:sz w:val="20"/>
          <w:szCs w:val="20"/>
          <w:color w:val="auto"/>
        </w:rPr>
        <w:tab/>
      </w:r>
      <w:r>
        <w:rPr>
          <w:rFonts w:ascii="Times New Roman" w:cs="Times New Roman" w:eastAsia="Times New Roman" w:hAnsi="Times New Roman"/>
          <w:sz w:val="18"/>
          <w:szCs w:val="18"/>
          <w:color w:val="auto"/>
        </w:rPr>
        <w:t>2,004</w:t>
      </w:r>
    </w:p>
    <w:p>
      <w:pPr>
        <w:spacing w:after="0" w:line="27" w:lineRule="exact"/>
        <w:rPr>
          <w:sz w:val="20"/>
          <w:szCs w:val="20"/>
          <w:color w:val="auto"/>
        </w:rPr>
      </w:pPr>
    </w:p>
    <w:p>
      <w:pPr>
        <w:ind w:left="220"/>
        <w:spacing w:after="0"/>
        <w:tabs>
          <w:tab w:leader="none" w:pos="1540" w:val="left"/>
        </w:tabs>
        <w:rPr>
          <w:sz w:val="20"/>
          <w:szCs w:val="20"/>
          <w:color w:val="auto"/>
        </w:rPr>
      </w:pPr>
      <w:r>
        <w:rPr>
          <w:rFonts w:ascii="Times New Roman" w:cs="Times New Roman" w:eastAsia="Times New Roman" w:hAnsi="Times New Roman"/>
          <w:sz w:val="18"/>
          <w:szCs w:val="18"/>
          <w:color w:val="auto"/>
        </w:rPr>
        <w:t>704,457,776</w:t>
      </w:r>
      <w:r>
        <w:rPr>
          <w:sz w:val="20"/>
          <w:szCs w:val="20"/>
          <w:color w:val="auto"/>
        </w:rPr>
        <w:tab/>
      </w:r>
      <w:r>
        <w:rPr>
          <w:rFonts w:ascii="Times New Roman" w:cs="Times New Roman" w:eastAsia="Times New Roman" w:hAnsi="Times New Roman"/>
          <w:sz w:val="18"/>
          <w:szCs w:val="18"/>
          <w:color w:val="auto"/>
        </w:rPr>
        <w:t>704,640,648</w:t>
      </w:r>
    </w:p>
    <w:p>
      <w:pPr>
        <w:spacing w:after="0" w:line="9" w:lineRule="exact"/>
        <w:rPr>
          <w:sz w:val="20"/>
          <w:szCs w:val="20"/>
          <w:color w:val="auto"/>
        </w:rPr>
      </w:pPr>
    </w:p>
    <w:p>
      <w:pPr>
        <w:ind w:left="160"/>
        <w:spacing w:after="0"/>
        <w:tabs>
          <w:tab w:leader="none" w:pos="1480" w:val="left"/>
        </w:tabs>
        <w:rPr>
          <w:sz w:val="20"/>
          <w:szCs w:val="20"/>
          <w:color w:val="auto"/>
        </w:rPr>
      </w:pPr>
      <w:r>
        <w:rPr>
          <w:rFonts w:ascii="Times New Roman" w:cs="Times New Roman" w:eastAsia="Times New Roman" w:hAnsi="Times New Roman"/>
          <w:sz w:val="18"/>
          <w:szCs w:val="18"/>
          <w:color w:val="auto"/>
        </w:rPr>
        <w:t>(548,638,528)</w:t>
      </w:r>
      <w:r>
        <w:rPr>
          <w:sz w:val="20"/>
          <w:szCs w:val="20"/>
          <w:color w:val="auto"/>
        </w:rPr>
        <w:tab/>
      </w:r>
      <w:r>
        <w:rPr>
          <w:rFonts w:ascii="Times New Roman" w:cs="Times New Roman" w:eastAsia="Times New Roman" w:hAnsi="Times New Roman"/>
          <w:sz w:val="18"/>
          <w:szCs w:val="18"/>
          <w:color w:val="auto"/>
        </w:rPr>
        <w:t>(543,868,352)</w:t>
      </w:r>
    </w:p>
    <w:p>
      <w:pPr>
        <w:spacing w:after="0" w:line="31" w:lineRule="exact"/>
        <w:rPr>
          <w:sz w:val="20"/>
          <w:szCs w:val="20"/>
          <w:color w:val="auto"/>
        </w:rPr>
      </w:pPr>
    </w:p>
    <w:p>
      <w:pPr>
        <w:ind w:left="220"/>
        <w:spacing w:after="0"/>
        <w:tabs>
          <w:tab w:leader="none" w:pos="1540" w:val="left"/>
        </w:tabs>
        <w:rPr>
          <w:sz w:val="20"/>
          <w:szCs w:val="20"/>
          <w:color w:val="auto"/>
        </w:rPr>
      </w:pPr>
      <w:r>
        <w:rPr>
          <w:rFonts w:ascii="Times New Roman" w:cs="Times New Roman" w:eastAsia="Times New Roman" w:hAnsi="Times New Roman"/>
          <w:sz w:val="18"/>
          <w:szCs w:val="18"/>
          <w:color w:val="auto"/>
        </w:rPr>
        <w:t>155,821,248</w:t>
      </w:r>
      <w:r>
        <w:rPr>
          <w:sz w:val="20"/>
          <w:szCs w:val="20"/>
          <w:color w:val="auto"/>
        </w:rPr>
        <w:tab/>
      </w:r>
      <w:r>
        <w:rPr>
          <w:rFonts w:ascii="Times New Roman" w:cs="Times New Roman" w:eastAsia="Times New Roman" w:hAnsi="Times New Roman"/>
          <w:sz w:val="18"/>
          <w:szCs w:val="18"/>
          <w:color w:val="auto"/>
        </w:rPr>
        <w:t>160,774,300</w:t>
      </w:r>
    </w:p>
    <w:p>
      <w:pPr>
        <w:spacing w:after="0" w:line="63" w:lineRule="exact"/>
        <w:rPr>
          <w:sz w:val="20"/>
          <w:szCs w:val="20"/>
          <w:color w:val="auto"/>
        </w:rPr>
      </w:pPr>
    </w:p>
    <w:p>
      <w:pPr>
        <w:spacing w:after="0"/>
        <w:tabs>
          <w:tab w:leader="none" w:pos="200" w:val="left"/>
          <w:tab w:leader="none" w:pos="1320" w:val="left"/>
        </w:tabs>
        <w:rPr>
          <w:sz w:val="20"/>
          <w:szCs w:val="20"/>
          <w:color w:val="auto"/>
        </w:rPr>
      </w:pPr>
      <w:r>
        <w:rPr>
          <w:rFonts w:ascii="Times New Roman" w:cs="Times New Roman" w:eastAsia="Times New Roman" w:hAnsi="Times New Roman"/>
          <w:sz w:val="18"/>
          <w:szCs w:val="18"/>
          <w:u w:val="single" w:color="auto"/>
          <w:color w:val="auto"/>
        </w:rPr>
        <w:t>$</w:t>
        <w:tab/>
        <w:t>307,381,161</w:t>
        <w:tab/>
        <w:t>$ 316,909,795</w:t>
      </w:r>
    </w:p>
    <w:p>
      <w:pPr>
        <w:spacing w:after="0" w:line="200" w:lineRule="exact"/>
        <w:rPr>
          <w:sz w:val="20"/>
          <w:szCs w:val="20"/>
          <w:color w:val="auto"/>
        </w:rPr>
      </w:pPr>
    </w:p>
    <w:p>
      <w:pPr>
        <w:sectPr>
          <w:pgSz w:w="11900" w:h="16838" w:orient="portrait"/>
          <w:cols w:equalWidth="0" w:num="2">
            <w:col w:w="8300" w:space="380"/>
            <w:col w:w="2560"/>
          </w:cols>
          <w:pgMar w:left="320" w:top="900" w:right="339" w:bottom="1440" w:gutter="0" w:footer="0" w:header="0"/>
          <w:type w:val="continuous"/>
        </w:sectPr>
      </w:pPr>
    </w:p>
    <w:p>
      <w:pPr>
        <w:spacing w:after="0" w:line="89" w:lineRule="exact"/>
        <w:rPr>
          <w:sz w:val="20"/>
          <w:szCs w:val="20"/>
          <w:color w:val="auto"/>
        </w:rPr>
      </w:pPr>
    </w:p>
    <w:p>
      <w:pPr>
        <w:ind w:left="180"/>
        <w:spacing w:after="0"/>
        <w:tabs>
          <w:tab w:leader="none" w:pos="8660" w:val="left"/>
          <w:tab w:leader="none" w:pos="9380" w:val="left"/>
          <w:tab w:leader="none" w:pos="10000" w:val="left"/>
          <w:tab w:leader="none" w:pos="10700" w:val="left"/>
        </w:tabs>
        <w:rPr>
          <w:sz w:val="20"/>
          <w:szCs w:val="20"/>
          <w:color w:val="auto"/>
        </w:rPr>
      </w:pPr>
      <w:r>
        <w:rPr>
          <w:rFonts w:ascii="Times New Roman" w:cs="Times New Roman" w:eastAsia="Times New Roman" w:hAnsi="Times New Roman"/>
          <w:sz w:val="18"/>
          <w:szCs w:val="18"/>
          <w:b w:val="1"/>
          <w:bCs w:val="1"/>
          <w:color w:val="auto"/>
        </w:rPr>
        <w:t>Net Asset Value Per Common Share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77.92</w:t>
        <w:tab/>
        <w:t>$</w:t>
      </w:r>
      <w:r>
        <w:rPr>
          <w:sz w:val="20"/>
          <w:szCs w:val="20"/>
          <w:color w:val="auto"/>
        </w:rPr>
        <w:tab/>
      </w:r>
      <w:r>
        <w:rPr>
          <w:rFonts w:ascii="Times New Roman" w:cs="Times New Roman" w:eastAsia="Times New Roman" w:hAnsi="Times New Roman"/>
          <w:sz w:val="18"/>
          <w:szCs w:val="18"/>
          <w:color w:val="auto"/>
        </w:rPr>
        <w:t>80.24</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PHENIXFIN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Interest Income: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from investments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Non-controlled, non-affiliated investments: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2,351,244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2,824,594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in-kind</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234,383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354,681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Affiliated investments: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838,583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in-kind</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Controlled investments: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445,684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588,195</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in-kind</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income</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3,869,894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3,767,470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Non-controlled, non-affiliated investments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795,867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596,298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Affiliated investments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142,495</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Controlled investments</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1,751,275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1,399,350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dividend income</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2,547,142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2,138,143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from cash and cash equivalents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55,366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227,032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Fee income (see Note 9)</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187,833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11,064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72,774</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6,660,235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6,216,483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financing expenses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2,432,335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2,545,811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969,173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1,028,617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fees, net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389,940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418,013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360,485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221,793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Directors fees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204,000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Administrator expenses (see Note 6)</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102,061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84,355</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 expenses</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75,634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88,421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4,533,628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4,591,010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2,126,607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Realized and unrealized gains (losses) on investments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Non-controlled, non-affiliated investments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692,220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1,168,670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Affiliated investments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Controlled investments</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net realized gains (losses)</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693,604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1,168,670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Non-controlled, non-affiliated investments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(4,730,179)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808,538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Affiliated investments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(338,527)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(889,186)</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Controlled investments</w:t>
            </w:r>
          </w:p>
        </w:tc>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(2,085,938)</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(249,338)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change in unrealized gains (losses)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(7,154,644)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benefit (expense)</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(423,429)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 (see Note 5)</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(12,314)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realized and unrealized gains (losses)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(6,896,783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838,684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Net Assets Resulting from Operations</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(4,770,176)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2,464,157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basic and diluted earnings per common share</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 (see Note 11)</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2,001,470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2,019,778</w:t>
            </w:r>
          </w:p>
        </w:tc>
        <w:tc>
          <w:tcPr>
            <w:tcW w:w="0" w:type="dxa"/>
            <w:vAlign w:val="bottom"/>
          </w:tcPr>
          <w:p>
            <w:pPr>
              <w:spacing w:after="0"/>
              <w:rPr>
                <w:sz w:val="1"/>
                <w:szCs w:val="1"/>
                <w:color w:val="auto"/>
              </w:rPr>
            </w:pPr>
          </w:p>
        </w:tc>
      </w:tr>
      <w:tr>
        <w:trPr>
          <w:trHeight w:val="637"/>
        </w:trPr>
        <w:tc>
          <w:tcPr>
            <w:tcW w:w="86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2026-02-09T15:40:38Z</dcterms:created>
  <dcterms:modified xsi:type="dcterms:W3CDTF">2026-02-09T15:40:38Z</dcterms:modified>
</cp:coreProperties>
</file>